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Sanierungsmaßnahmen an sieben städtischen Kindertageseinrichtungen - KiTa Sanierung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